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720" w:firstLineChars="200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测量用互感器型式评价大纲</w:t>
      </w:r>
    </w:p>
    <w:p>
      <w:pPr>
        <w:spacing w:line="312" w:lineRule="auto"/>
        <w:ind w:firstLine="720" w:firstLineChars="200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第</w:t>
      </w:r>
      <w:r>
        <w:rPr>
          <w:rFonts w:ascii="黑体" w:hAnsi="黑体" w:eastAsia="黑体"/>
          <w:color w:val="000000"/>
          <w:sz w:val="36"/>
          <w:szCs w:val="36"/>
        </w:rPr>
        <w:t>7</w:t>
      </w:r>
      <w:r>
        <w:rPr>
          <w:rFonts w:hint="eastAsia" w:ascii="黑体" w:hAnsi="黑体" w:eastAsia="黑体"/>
          <w:color w:val="000000"/>
          <w:sz w:val="36"/>
          <w:szCs w:val="36"/>
        </w:rPr>
        <w:t>部分：宽量程电流互感器</w:t>
      </w:r>
    </w:p>
    <w:p>
      <w:pPr>
        <w:spacing w:line="312" w:lineRule="auto"/>
        <w:ind w:firstLine="720" w:firstLineChars="200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ascii="黑体" w:hAnsi="黑体" w:eastAsia="黑体"/>
          <w:color w:val="000000"/>
          <w:sz w:val="36"/>
          <w:szCs w:val="36"/>
        </w:rPr>
        <w:t>不确定度分析报告</w:t>
      </w: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600" w:firstLineChars="200"/>
        <w:jc w:val="center"/>
        <w:rPr>
          <w:rFonts w:hAnsi="宋体"/>
          <w:color w:val="000000"/>
          <w:sz w:val="30"/>
          <w:szCs w:val="30"/>
        </w:rPr>
      </w:pPr>
    </w:p>
    <w:p>
      <w:pPr>
        <w:spacing w:line="312" w:lineRule="auto"/>
        <w:ind w:firstLine="482" w:firstLineChars="200"/>
        <w:jc w:val="center"/>
        <w:rPr>
          <w:color w:val="000000"/>
          <w:sz w:val="30"/>
          <w:szCs w:val="30"/>
        </w:rPr>
      </w:pPr>
      <w:r>
        <w:rPr>
          <w:rFonts w:hint="eastAsia"/>
          <w:b/>
          <w:sz w:val="24"/>
        </w:rPr>
        <w:t>电力电流互感器</w:t>
      </w:r>
      <w:r>
        <w:rPr>
          <w:b/>
          <w:sz w:val="24"/>
        </w:rPr>
        <w:t>误差测量结果的不确定度分析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宋体"/>
          <w:sz w:val="24"/>
          <w:szCs w:val="24"/>
        </w:rPr>
        <w:t>测量方法：</w:t>
      </w:r>
      <w:r>
        <w:rPr>
          <w:rFonts w:hint="eastAsia" w:ascii="Times New Roman" w:hAnsi="宋体"/>
          <w:sz w:val="24"/>
          <w:szCs w:val="24"/>
        </w:rPr>
        <w:t>使用JJ</w:t>
      </w:r>
      <w:r>
        <w:rPr>
          <w:rFonts w:ascii="Times New Roman" w:hAnsi="宋体"/>
          <w:sz w:val="24"/>
          <w:szCs w:val="24"/>
        </w:rPr>
        <w:t xml:space="preserve">F 1701.7 </w:t>
      </w:r>
      <w:r>
        <w:rPr>
          <w:rFonts w:hint="eastAsia" w:ascii="Times New Roman" w:hAnsi="宋体"/>
          <w:sz w:val="24"/>
          <w:szCs w:val="24"/>
        </w:rPr>
        <w:t>《测量用互感器型式评价大纲</w:t>
      </w:r>
      <w:r>
        <w:rPr>
          <w:rFonts w:ascii="Times New Roman" w:hAnsi="宋体"/>
          <w:sz w:val="24"/>
          <w:szCs w:val="24"/>
        </w:rPr>
        <w:t xml:space="preserve"> </w:t>
      </w:r>
      <w:r>
        <w:rPr>
          <w:rFonts w:hint="eastAsia" w:ascii="Times New Roman" w:hAnsi="宋体"/>
          <w:sz w:val="24"/>
          <w:szCs w:val="24"/>
        </w:rPr>
        <w:t>第7部分：宽量程电流互感器》的比较测量法</w:t>
      </w:r>
      <w:r>
        <w:rPr>
          <w:rFonts w:ascii="Times New Roman" w:hAnsi="宋体"/>
          <w:sz w:val="24"/>
          <w:szCs w:val="24"/>
        </w:rPr>
        <w:t>，对被校电流互感器进行误差测量，由误差测量装置读取比值差和相位差。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测量的环境条件：温度（</w:t>
      </w:r>
      <w:r>
        <w:rPr>
          <w:rFonts w:hint="eastAsia" w:ascii="Times New Roman" w:hAnsi="Times New Roman"/>
          <w:sz w:val="24"/>
          <w:szCs w:val="24"/>
        </w:rPr>
        <w:t>-25～40</w:t>
      </w:r>
      <w:r>
        <w:rPr>
          <w:rFonts w:ascii="Times New Roman" w:hAnsi="宋体"/>
          <w:sz w:val="24"/>
          <w:szCs w:val="24"/>
        </w:rPr>
        <w:t>）</w:t>
      </w:r>
      <w:r>
        <w:rPr>
          <w:rFonts w:hAnsi="宋体"/>
          <w:sz w:val="24"/>
          <w:szCs w:val="24"/>
        </w:rPr>
        <w:t>℃</w:t>
      </w:r>
      <w:r>
        <w:rPr>
          <w:rFonts w:ascii="Times New Roman" w:hAnsi="宋体"/>
          <w:sz w:val="24"/>
          <w:szCs w:val="24"/>
        </w:rPr>
        <w:t>；相对湿度不大于</w:t>
      </w:r>
      <w:r>
        <w:rPr>
          <w:rFonts w:ascii="Times New Roman" w:hAnsi="Times New Roman"/>
          <w:sz w:val="24"/>
          <w:szCs w:val="24"/>
        </w:rPr>
        <w:t>80%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宋体"/>
          <w:sz w:val="24"/>
          <w:szCs w:val="24"/>
        </w:rPr>
        <w:t>主要仪器设备：标准电流互感器</w:t>
      </w:r>
    </w:p>
    <w:p>
      <w:pPr>
        <w:pStyle w:val="3"/>
        <w:spacing w:line="360" w:lineRule="auto"/>
        <w:ind w:firstLine="480" w:firstLineChars="200"/>
        <w:rPr>
          <w:sz w:val="24"/>
        </w:rPr>
      </w:pP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hint="eastAsia"/>
          <w:sz w:val="24"/>
        </w:rPr>
        <w:t>测量数学模型</w:t>
      </w:r>
    </w:p>
    <w:tbl>
      <w:tblPr>
        <w:tblStyle w:val="8"/>
        <w:tblW w:w="9922" w:type="dxa"/>
        <w:tblInd w:w="-56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48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i/>
                <w:iCs/>
                <w:sz w:val="24"/>
              </w:rPr>
              <w:t>f</w:t>
            </w:r>
            <w:r>
              <w:rPr>
                <w:sz w:val="24"/>
                <w:vertAlign w:val="subscript"/>
              </w:rPr>
              <w:t>x</w:t>
            </w:r>
            <w:r>
              <w:rPr>
                <w:sz w:val="24"/>
              </w:rPr>
              <w:t>=</w:t>
            </w:r>
            <w:r>
              <w:rPr>
                <w:i/>
                <w:iCs/>
                <w:sz w:val="24"/>
              </w:rPr>
              <w:t>f</w:t>
            </w:r>
            <w:r>
              <w:rPr>
                <w:sz w:val="24"/>
                <w:vertAlign w:val="subscript"/>
              </w:rPr>
              <w:t>p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Δf</w:t>
            </w:r>
            <w:r>
              <w:rPr>
                <w:sz w:val="24"/>
                <w:vertAlign w:val="subscript"/>
              </w:rPr>
              <w:t>1</w:t>
            </w:r>
            <w:r>
              <w:rPr>
                <w:i/>
                <w:iCs/>
                <w:sz w:val="24"/>
              </w:rPr>
              <w:t>+Δf</w:t>
            </w:r>
            <w:r>
              <w:rPr>
                <w:sz w:val="24"/>
                <w:vertAlign w:val="subscript"/>
              </w:rPr>
              <w:t>2</w:t>
            </w:r>
            <w:r>
              <w:rPr>
                <w:i/>
                <w:iCs/>
                <w:sz w:val="24"/>
              </w:rPr>
              <w:t>+Δf</w:t>
            </w:r>
            <w:r>
              <w:rPr>
                <w:sz w:val="24"/>
                <w:vertAlign w:val="subscript"/>
              </w:rPr>
              <w:t>3</w:t>
            </w:r>
            <w:r>
              <w:rPr>
                <w:i/>
                <w:iCs/>
                <w:sz w:val="24"/>
              </w:rPr>
              <w:t>+Δf</w:t>
            </w:r>
            <w:r>
              <w:rPr>
                <w:sz w:val="24"/>
                <w:vertAlign w:val="subscript"/>
              </w:rPr>
              <w:t>4</w:t>
            </w:r>
            <w:r>
              <w:rPr>
                <w:i/>
                <w:iCs/>
                <w:sz w:val="24"/>
              </w:rPr>
              <w:t>+Δf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i/>
                <w:iCs/>
                <w:sz w:val="24"/>
              </w:rPr>
              <w:t>δ</w:t>
            </w:r>
            <w:r>
              <w:rPr>
                <w:sz w:val="24"/>
                <w:vertAlign w:val="subscript"/>
              </w:rPr>
              <w:t>x</w:t>
            </w:r>
            <w:r>
              <w:rPr>
                <w:sz w:val="24"/>
              </w:rPr>
              <w:t>=</w:t>
            </w:r>
            <w:r>
              <w:rPr>
                <w:i/>
                <w:iCs/>
                <w:sz w:val="24"/>
              </w:rPr>
              <w:t>δ</w:t>
            </w:r>
            <w:r>
              <w:rPr>
                <w:sz w:val="24"/>
                <w:vertAlign w:val="subscript"/>
              </w:rPr>
              <w:t>p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>+</w:t>
            </w:r>
            <w:r>
              <w:rPr>
                <w:i/>
                <w:iCs/>
                <w:sz w:val="24"/>
              </w:rPr>
              <w:t>Δδ</w:t>
            </w:r>
            <w:bookmarkStart w:id="1" w:name="_GoBack"/>
            <w:bookmarkEnd w:id="1"/>
            <w:r>
              <w:rPr>
                <w:rFonts w:hint="eastAsia"/>
                <w:sz w:val="24"/>
                <w:vertAlign w:val="subscript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f</w:t>
            </w:r>
            <w:r>
              <w:rPr>
                <w:sz w:val="24"/>
                <w:vertAlign w:val="subscript"/>
              </w:rPr>
              <w:t>x</w:t>
            </w:r>
            <w:r>
              <w:rPr>
                <w:sz w:val="24"/>
              </w:rPr>
              <w:t xml:space="preserve"> —被测</w:t>
            </w:r>
            <w:r>
              <w:rPr>
                <w:rFonts w:hAnsi="宋体"/>
                <w:sz w:val="24"/>
              </w:rPr>
              <w:t>电流互感器</w:t>
            </w:r>
            <w:r>
              <w:rPr>
                <w:sz w:val="24"/>
              </w:rPr>
              <w:t>的比值差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</w:t>
            </w:r>
            <w:r>
              <w:rPr>
                <w:sz w:val="24"/>
                <w:vertAlign w:val="subscript"/>
              </w:rPr>
              <w:t>x</w:t>
            </w:r>
            <w:r>
              <w:rPr>
                <w:sz w:val="24"/>
              </w:rPr>
              <w:t xml:space="preserve"> —被测</w:t>
            </w:r>
            <w:r>
              <w:rPr>
                <w:rFonts w:hAnsi="宋体"/>
                <w:sz w:val="24"/>
              </w:rPr>
              <w:t>电流互感器</w:t>
            </w:r>
            <w:r>
              <w:rPr>
                <w:sz w:val="24"/>
              </w:rPr>
              <w:t>的相位差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f</w:t>
            </w:r>
            <w:r>
              <w:rPr>
                <w:sz w:val="24"/>
                <w:vertAlign w:val="subscript"/>
              </w:rPr>
              <w:t>p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误差测量装置</w:t>
            </w:r>
            <w:r>
              <w:rPr>
                <w:sz w:val="24"/>
              </w:rPr>
              <w:t>上所测得被校电流互感器的比值差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</w:t>
            </w:r>
            <w:r>
              <w:rPr>
                <w:sz w:val="24"/>
                <w:vertAlign w:val="subscript"/>
              </w:rPr>
              <w:t>p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误差测量装置</w:t>
            </w:r>
            <w:r>
              <w:rPr>
                <w:sz w:val="24"/>
              </w:rPr>
              <w:t>上所测得被校电流互感器的相位差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Δf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标准电流互感器比值差的影响量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标准电流互感器相位差的影响量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Δf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模拟比较式误差测量装置的影响量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模拟比较式误差测量装置的影响量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Δf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工作电磁场的影响量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工作电磁场的影响量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Δf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二次负荷</w:t>
            </w:r>
            <w:r>
              <w:rPr>
                <w:sz w:val="24"/>
              </w:rPr>
              <w:t>的影响量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二次负荷的影响量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Δf</w:t>
            </w:r>
            <w:r>
              <w:rPr>
                <w:rFonts w:hint="eastAsia"/>
                <w:sz w:val="24"/>
                <w:vertAlign w:val="subscript"/>
              </w:rPr>
              <w:t>5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线路接线</w:t>
            </w:r>
            <w:r>
              <w:rPr>
                <w:sz w:val="24"/>
              </w:rPr>
              <w:t>的影响量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Δδ</w:t>
            </w:r>
            <w:r>
              <w:rPr>
                <w:sz w:val="24"/>
                <w:vertAlign w:val="subscript"/>
              </w:rPr>
              <w:t>5</w:t>
            </w:r>
            <w:r>
              <w:rPr>
                <w:sz w:val="24"/>
              </w:rPr>
              <w:t xml:space="preserve"> —</w:t>
            </w:r>
            <w:r>
              <w:rPr>
                <w:rFonts w:hint="eastAsia"/>
                <w:sz w:val="24"/>
              </w:rPr>
              <w:t>线路接线</w:t>
            </w:r>
            <w:r>
              <w:rPr>
                <w:sz w:val="24"/>
              </w:rPr>
              <w:t>的影响量</w:t>
            </w:r>
          </w:p>
        </w:tc>
      </w:tr>
    </w:tbl>
    <w:p>
      <w:pPr>
        <w:pStyle w:val="3"/>
        <w:spacing w:line="360" w:lineRule="auto"/>
        <w:ind w:firstLine="480" w:firstLineChars="200"/>
        <w:rPr>
          <w:rFonts w:ascii="Times New Roman" w:hAnsi="Times New Roman"/>
          <w:i/>
          <w:iCs/>
          <w:sz w:val="24"/>
          <w:szCs w:val="24"/>
        </w:rPr>
      </w:pP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—重复测量引入的标准不确定度分量；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—由标准器引入的标准不确定度分量；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hint="eastAsia"/>
          <w:sz w:val="24"/>
        </w:rPr>
        <w:t>模拟比较式误差测量装置引入的标准不确定度分量</w:t>
      </w:r>
      <w:r>
        <w:rPr>
          <w:rFonts w:ascii="Times New Roman" w:hAnsi="Times New Roman"/>
          <w:sz w:val="24"/>
          <w:szCs w:val="24"/>
        </w:rPr>
        <w:t>；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hint="eastAsia"/>
          <w:sz w:val="24"/>
        </w:rPr>
        <w:t>工作电磁场引入的不确定分量</w:t>
      </w:r>
      <w:r>
        <w:rPr>
          <w:rFonts w:ascii="Times New Roman" w:hAnsi="Times New Roman"/>
          <w:sz w:val="24"/>
          <w:szCs w:val="24"/>
        </w:rPr>
        <w:t>；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hint="eastAsia" w:hAnsi="宋体"/>
          <w:sz w:val="24"/>
        </w:rPr>
        <w:t>二次负荷引入的标准不确定度分量</w:t>
      </w:r>
      <w:r>
        <w:rPr>
          <w:rFonts w:hint="eastAsia" w:ascii="Times New Roman" w:hAnsi="Times New Roman"/>
          <w:sz w:val="24"/>
          <w:szCs w:val="24"/>
        </w:rPr>
        <w:t>；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hint="eastAsia"/>
          <w:sz w:val="24"/>
        </w:rPr>
        <w:t>线路接线</w:t>
      </w:r>
      <w:r>
        <w:rPr>
          <w:rFonts w:hint="eastAsia" w:hAnsi="宋体"/>
          <w:sz w:val="24"/>
        </w:rPr>
        <w:t>引入的标准不确定度分量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宋体"/>
          <w:sz w:val="24"/>
          <w:szCs w:val="24"/>
        </w:rPr>
        <w:t>标准不确定度分量评定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3.1</w:t>
      </w:r>
      <w:r>
        <w:rPr>
          <w:rFonts w:hint="eastAsia"/>
          <w:sz w:val="24"/>
        </w:rPr>
        <w:t>测量</w:t>
      </w:r>
      <w:r>
        <w:rPr>
          <w:sz w:val="24"/>
        </w:rPr>
        <w:t>重复性引入</w:t>
      </w:r>
      <w:r>
        <w:rPr>
          <w:rFonts w:hAnsi="宋体"/>
          <w:sz w:val="24"/>
        </w:rPr>
        <w:t>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1</w:t>
      </w:r>
    </w:p>
    <w:p>
      <w:pPr>
        <w:tabs>
          <w:tab w:val="left" w:pos="720"/>
        </w:tabs>
        <w:spacing w:line="324" w:lineRule="auto"/>
        <w:ind w:firstLine="480" w:firstLineChars="200"/>
        <w:rPr>
          <w:sz w:val="24"/>
        </w:rPr>
      </w:pPr>
      <w:r>
        <w:rPr>
          <w:sz w:val="24"/>
        </w:rPr>
        <w:t>标准不确定度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可以通过连续测量得到测量列进行评定，由电源频率波动、环境无关电磁场影响、升流器接触电阻变化、</w:t>
      </w:r>
      <w:r>
        <w:rPr>
          <w:rFonts w:hint="eastAsia" w:hAnsi="宋体"/>
          <w:sz w:val="24"/>
        </w:rPr>
        <w:t>误差测量</w:t>
      </w:r>
      <w:r>
        <w:rPr>
          <w:rFonts w:hAnsi="宋体"/>
          <w:sz w:val="24"/>
        </w:rPr>
        <w:t>装置最小分度值，环境温湿度变化等因素引起的不确定度影响均以包含在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的分量中，不再对这些分量进行单独评定。本次评定选择被校</w:t>
      </w:r>
      <w:r>
        <w:rPr>
          <w:sz w:val="24"/>
        </w:rPr>
        <w:t>0.2</w:t>
      </w:r>
      <w:r>
        <w:rPr>
          <w:rFonts w:hint="eastAsia"/>
          <w:sz w:val="24"/>
        </w:rPr>
        <w:t>SS</w:t>
      </w:r>
      <w:r>
        <w:rPr>
          <w:rFonts w:hAnsi="宋体"/>
          <w:sz w:val="24"/>
        </w:rPr>
        <w:t>级电流互感器在</w:t>
      </w:r>
      <w:r>
        <w:rPr>
          <w:sz w:val="24"/>
        </w:rPr>
        <w:t>cosΦ=</w:t>
      </w:r>
      <w:r>
        <w:rPr>
          <w:rFonts w:hint="eastAsia"/>
          <w:sz w:val="24"/>
        </w:rPr>
        <w:t>0.8</w:t>
      </w:r>
      <w:r>
        <w:rPr>
          <w:rFonts w:hAnsi="宋体"/>
          <w:sz w:val="24"/>
        </w:rPr>
        <w:t>，额定负荷为</w:t>
      </w:r>
      <w:r>
        <w:rPr>
          <w:sz w:val="24"/>
        </w:rPr>
        <w:t>5 VA</w:t>
      </w:r>
      <w:r>
        <w:rPr>
          <w:rFonts w:hAnsi="宋体"/>
          <w:sz w:val="24"/>
        </w:rPr>
        <w:t>，量限为</w:t>
      </w:r>
      <w:r>
        <w:rPr>
          <w:rFonts w:hint="eastAsia"/>
          <w:sz w:val="24"/>
        </w:rPr>
        <w:t>300 A</w:t>
      </w:r>
      <w:r>
        <w:rPr>
          <w:sz w:val="24"/>
        </w:rPr>
        <w:t>/5</w:t>
      </w:r>
      <w:r>
        <w:rPr>
          <w:rFonts w:hint="eastAsia"/>
          <w:sz w:val="24"/>
        </w:rPr>
        <w:t xml:space="preserve"> A</w:t>
      </w:r>
      <w:r>
        <w:rPr>
          <w:rFonts w:hAnsi="宋体"/>
          <w:sz w:val="24"/>
        </w:rPr>
        <w:t>的</w:t>
      </w:r>
      <w:r>
        <w:rPr>
          <w:sz w:val="24"/>
        </w:rPr>
        <w:t>100%In</w:t>
      </w:r>
      <w:r>
        <w:rPr>
          <w:rFonts w:hAnsi="宋体"/>
          <w:sz w:val="24"/>
        </w:rPr>
        <w:t>时，在重复性条件下进行</w:t>
      </w:r>
      <w:r>
        <w:rPr>
          <w:sz w:val="24"/>
        </w:rPr>
        <w:t>n=10</w:t>
      </w:r>
      <w:r>
        <w:rPr>
          <w:rFonts w:hAnsi="宋体"/>
          <w:sz w:val="24"/>
        </w:rPr>
        <w:t>次测量，</w:t>
      </w:r>
      <w:r>
        <w:rPr>
          <w:sz w:val="24"/>
        </w:rPr>
        <w:t>得到</w:t>
      </w:r>
      <w:r>
        <w:rPr>
          <w:rFonts w:hint="eastAsia"/>
          <w:sz w:val="24"/>
        </w:rPr>
        <w:t>表1所示的</w:t>
      </w:r>
      <w:r>
        <w:rPr>
          <w:sz w:val="24"/>
        </w:rPr>
        <w:t>数据</w:t>
      </w:r>
      <w:r>
        <w:rPr>
          <w:rFonts w:hint="eastAsia"/>
          <w:sz w:val="24"/>
        </w:rPr>
        <w:t>。</w:t>
      </w:r>
      <w:r>
        <w:rPr>
          <w:sz w:val="24"/>
        </w:rPr>
        <w:t>测量次数</w:t>
      </w:r>
      <w:r>
        <w:rPr>
          <w:i/>
          <w:sz w:val="24"/>
        </w:rPr>
        <w:t>n</w:t>
      </w:r>
      <w:r>
        <w:rPr>
          <w:sz w:val="24"/>
        </w:rPr>
        <w:t>=10，则误差的平均值</w:t>
      </w:r>
      <w:r>
        <w:rPr>
          <w:rFonts w:hint="eastAsia"/>
          <w:sz w:val="24"/>
        </w:rPr>
        <w:t>和方差</w:t>
      </w:r>
      <w:r>
        <w:rPr>
          <w:sz w:val="24"/>
        </w:rPr>
        <w:t>为：</w:t>
      </w:r>
    </w:p>
    <w:p>
      <w:pPr>
        <w:tabs>
          <w:tab w:val="left" w:pos="720"/>
        </w:tabs>
        <w:wordWrap w:val="0"/>
        <w:jc w:val="right"/>
        <w:rPr>
          <w:sz w:val="24"/>
        </w:rPr>
      </w:pPr>
      <w:r>
        <w:rPr>
          <w:sz w:val="24"/>
        </w:rPr>
        <w:t xml:space="preserve">      </w:t>
      </w:r>
      <w:r>
        <w:rPr>
          <w:position w:val="-28"/>
          <w:sz w:val="24"/>
        </w:rPr>
        <w:object>
          <v:shape id="_x0000_i1025" o:spt="75" type="#_x0000_t75" style="height:34.5pt;width:5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sz w:val="24"/>
        </w:rPr>
        <w:t xml:space="preserve">                                    (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</w:p>
    <w:p>
      <w:pPr>
        <w:tabs>
          <w:tab w:val="left" w:pos="720"/>
        </w:tabs>
        <w:jc w:val="right"/>
        <w:rPr>
          <w:sz w:val="24"/>
        </w:rPr>
      </w:pPr>
      <w:r>
        <w:rPr>
          <w:position w:val="-30"/>
          <w:sz w:val="24"/>
        </w:rPr>
        <w:object>
          <v:shape id="_x0000_i1026" o:spt="75" type="#_x0000_t75" style="height:37.5pt;width:107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sz w:val="24"/>
        </w:rPr>
        <w:t xml:space="preserve">                               (</w:t>
      </w:r>
      <w:r>
        <w:rPr>
          <w:rFonts w:hint="eastAsia"/>
          <w:sz w:val="24"/>
        </w:rPr>
        <w:t>2</w:t>
      </w:r>
      <w:r>
        <w:rPr>
          <w:sz w:val="24"/>
        </w:rPr>
        <w:t>)</w:t>
      </w:r>
    </w:p>
    <w:p>
      <w:pPr>
        <w:snapToGrid w:val="0"/>
        <w:spacing w:line="288" w:lineRule="auto"/>
        <w:ind w:firstLine="660" w:firstLineChars="275"/>
        <w:rPr>
          <w:sz w:val="24"/>
        </w:rPr>
      </w:pPr>
      <w:r>
        <w:rPr>
          <w:sz w:val="24"/>
        </w:rPr>
        <w:t>算术平均值</w:t>
      </w:r>
      <w:r>
        <w:rPr>
          <w:position w:val="-10"/>
          <w:sz w:val="24"/>
        </w:rPr>
        <w:object>
          <v:shape id="_x0000_i1027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sz w:val="24"/>
        </w:rPr>
        <w:t>的实验标准偏差：</w:t>
      </w:r>
    </w:p>
    <w:p>
      <w:pPr>
        <w:wordWrap w:val="0"/>
        <w:snapToGrid w:val="0"/>
        <w:spacing w:line="288" w:lineRule="auto"/>
        <w:ind w:left="1260" w:firstLine="420"/>
        <w:jc w:val="right"/>
        <w:rPr>
          <w:sz w:val="24"/>
        </w:rPr>
      </w:pPr>
      <w:r>
        <w:rPr>
          <w:position w:val="-30"/>
          <w:sz w:val="24"/>
        </w:rPr>
        <w:object>
          <v:shape id="_x0000_i1028" o:spt="75" type="#_x0000_t75" style="height:37.5pt;width:165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ab/>
      </w:r>
      <w:r>
        <w:tab/>
      </w:r>
      <w:r>
        <w:tab/>
      </w:r>
      <w: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    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>
      <w:pPr>
        <w:snapToGrid w:val="0"/>
        <w:spacing w:line="324" w:lineRule="auto"/>
        <w:ind w:firstLine="540" w:firstLineChars="225"/>
        <w:rPr>
          <w:sz w:val="24"/>
        </w:rPr>
      </w:pPr>
      <w:r>
        <w:rPr>
          <w:sz w:val="24"/>
        </w:rPr>
        <w:t>式中</w:t>
      </w:r>
      <w:r>
        <w:rPr>
          <w:position w:val="-12"/>
          <w:sz w:val="24"/>
        </w:rPr>
        <w:object>
          <v:shape id="_x0000_i1029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sz w:val="24"/>
        </w:rPr>
        <w:t>为第i次测量得出的相对误差。</w:t>
      </w:r>
      <w:r>
        <w:rPr>
          <w:position w:val="-10"/>
          <w:sz w:val="24"/>
        </w:rPr>
        <w:object>
          <v:shape id="_x0000_i103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sz w:val="24"/>
        </w:rPr>
        <w:t>就是测量结果的A类标准不确定度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。</w:t>
      </w:r>
    </w:p>
    <w:p>
      <w:pPr>
        <w:spacing w:line="324" w:lineRule="auto"/>
        <w:jc w:val="center"/>
        <w:rPr>
          <w:sz w:val="24"/>
        </w:rPr>
      </w:pPr>
      <w:r>
        <w:rPr>
          <w:rFonts w:ascii="黑体" w:hAnsi="黑体" w:eastAsia="黑体"/>
          <w:szCs w:val="21"/>
        </w:rPr>
        <w:t>表1　</w:t>
      </w:r>
      <w:r>
        <w:rPr>
          <w:rFonts w:hint="eastAsia" w:ascii="黑体" w:hAnsi="黑体" w:eastAsia="黑体"/>
          <w:szCs w:val="21"/>
        </w:rPr>
        <w:t>宽量程</w:t>
      </w:r>
      <w:r>
        <w:rPr>
          <w:rFonts w:ascii="黑体" w:hAnsi="黑体" w:eastAsia="黑体"/>
          <w:szCs w:val="21"/>
        </w:rPr>
        <w:t>电</w:t>
      </w:r>
      <w:r>
        <w:rPr>
          <w:rFonts w:hint="eastAsia" w:ascii="黑体" w:hAnsi="黑体" w:eastAsia="黑体"/>
          <w:szCs w:val="21"/>
        </w:rPr>
        <w:t>流</w:t>
      </w:r>
      <w:r>
        <w:rPr>
          <w:rFonts w:ascii="黑体" w:hAnsi="黑体" w:eastAsia="黑体"/>
          <w:szCs w:val="21"/>
        </w:rPr>
        <w:t>互感器测量结果及A类标准不确定</w:t>
      </w:r>
      <w:r>
        <w:rPr>
          <w:rFonts w:hint="eastAsia" w:ascii="黑体" w:hAnsi="黑体" w:eastAsia="黑体"/>
          <w:szCs w:val="21"/>
        </w:rPr>
        <w:t>评定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839"/>
        <w:gridCol w:w="845"/>
        <w:gridCol w:w="845"/>
        <w:gridCol w:w="845"/>
        <w:gridCol w:w="845"/>
        <w:gridCol w:w="856"/>
        <w:gridCol w:w="1185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20" w:type="pct"/>
            <w:vAlign w:val="center"/>
          </w:tcPr>
          <w:p>
            <w:pPr>
              <w:pStyle w:val="2"/>
              <w:ind w:left="0" w:right="28"/>
              <w:jc w:val="center"/>
              <w:rPr>
                <w:szCs w:val="21"/>
              </w:rPr>
            </w:pPr>
            <w:r>
              <w:rPr>
                <w:szCs w:val="21"/>
              </w:rPr>
              <w:t>电</w:t>
            </w:r>
            <w:r>
              <w:rPr>
                <w:rFonts w:hint="eastAsia"/>
                <w:szCs w:val="21"/>
              </w:rPr>
              <w:t>流</w:t>
            </w:r>
          </w:p>
          <w:p>
            <w:pPr>
              <w:pStyle w:val="2"/>
              <w:ind w:left="0" w:right="28"/>
              <w:jc w:val="center"/>
              <w:rPr>
                <w:szCs w:val="21"/>
              </w:rPr>
            </w:pPr>
            <w:r>
              <w:rPr>
                <w:szCs w:val="21"/>
              </w:rPr>
              <w:t>百分数</w:t>
            </w:r>
          </w:p>
        </w:tc>
        <w:tc>
          <w:tcPr>
            <w:tcW w:w="2978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误差</w:t>
            </w:r>
          </w:p>
        </w:tc>
        <w:tc>
          <w:tcPr>
            <w:tcW w:w="695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标准偏差估计值</w:t>
            </w:r>
            <w:r>
              <w:rPr>
                <w:rFonts w:hint="eastAsia"/>
                <w:i/>
                <w:szCs w:val="21"/>
              </w:rPr>
              <w:t>s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标准不确定度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20" w:type="pct"/>
            <w:vMerge w:val="restart"/>
            <w:vAlign w:val="center"/>
          </w:tcPr>
          <w:p>
            <w:pPr>
              <w:pStyle w:val="2"/>
              <w:spacing w:before="60"/>
              <w:ind w:left="0" w:right="28"/>
              <w:jc w:val="center"/>
            </w:pPr>
            <w:r>
              <w:rPr>
                <w:sz w:val="24"/>
              </w:rPr>
              <w:t>100%</w:t>
            </w:r>
            <w:r>
              <w:rPr>
                <w:rFonts w:hint="eastAsia"/>
                <w:i/>
                <w:sz w:val="24"/>
              </w:rPr>
              <w:t>I</w:t>
            </w:r>
            <w:r>
              <w:rPr>
                <w:sz w:val="24"/>
                <w:vertAlign w:val="subscript"/>
              </w:rPr>
              <w:t>n</w:t>
            </w:r>
          </w:p>
        </w:tc>
        <w:tc>
          <w:tcPr>
            <w:tcW w:w="492" w:type="pct"/>
            <w:vMerge w:val="restart"/>
            <w:vAlign w:val="center"/>
          </w:tcPr>
          <w:p>
            <w:pPr>
              <w:pStyle w:val="2"/>
              <w:spacing w:before="60"/>
              <w:ind w:left="0" w:right="28"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f</w:t>
            </w:r>
            <w:r>
              <w:rPr>
                <w:szCs w:val="21"/>
              </w:rPr>
              <w:t>（%）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0.064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0.064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0.066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0.066</w:t>
            </w:r>
          </w:p>
        </w:tc>
        <w:tc>
          <w:tcPr>
            <w:tcW w:w="500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0.066</w:t>
            </w:r>
          </w:p>
        </w:tc>
        <w:tc>
          <w:tcPr>
            <w:tcW w:w="695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9.</w:t>
            </w:r>
            <w:r>
              <w:rPr>
                <w:rFonts w:hint="eastAsia"/>
                <w:szCs w:val="21"/>
              </w:rPr>
              <w:t>19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-4</w:t>
            </w:r>
          </w:p>
        </w:tc>
        <w:tc>
          <w:tcPr>
            <w:tcW w:w="708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91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620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492" w:type="pct"/>
            <w:vMerge w:val="continue"/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0.065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0.065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0.064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0.064</w:t>
            </w:r>
          </w:p>
        </w:tc>
        <w:tc>
          <w:tcPr>
            <w:tcW w:w="500" w:type="pct"/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0.064</w:t>
            </w:r>
          </w:p>
        </w:tc>
        <w:tc>
          <w:tcPr>
            <w:tcW w:w="695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708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620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492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δ</w:t>
            </w:r>
            <w:r>
              <w:rPr>
                <w:szCs w:val="21"/>
              </w:rPr>
              <w:t>(</w:t>
            </w:r>
            <w:bookmarkStart w:id="0" w:name="_Hlk7279672"/>
            <w:r>
              <w:rPr>
                <w:szCs w:val="21"/>
              </w:rPr>
              <w:t>′</w:t>
            </w:r>
            <w:bookmarkEnd w:id="0"/>
            <w:r>
              <w:rPr>
                <w:szCs w:val="21"/>
              </w:rPr>
              <w:t>)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2.16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2.24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2.14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2.25</w:t>
            </w:r>
          </w:p>
        </w:tc>
        <w:tc>
          <w:tcPr>
            <w:tcW w:w="500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2.25</w:t>
            </w:r>
          </w:p>
        </w:tc>
        <w:tc>
          <w:tcPr>
            <w:tcW w:w="695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34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708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37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620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492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2.23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2.19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2.15</w:t>
            </w:r>
          </w:p>
        </w:tc>
        <w:tc>
          <w:tcPr>
            <w:tcW w:w="496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2.21</w:t>
            </w:r>
          </w:p>
        </w:tc>
        <w:tc>
          <w:tcPr>
            <w:tcW w:w="500" w:type="pct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2.16</w:t>
            </w:r>
          </w:p>
        </w:tc>
        <w:tc>
          <w:tcPr>
            <w:tcW w:w="695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708" w:type="pct"/>
            <w:vMerge w:val="continue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>
      <w:pPr>
        <w:spacing w:line="312" w:lineRule="auto"/>
        <w:ind w:firstLine="480" w:firstLineChars="200"/>
        <w:rPr>
          <w:sz w:val="24"/>
        </w:rPr>
      </w:pPr>
    </w:p>
    <w:p>
      <w:pPr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.2</w:t>
      </w:r>
      <w:r>
        <w:rPr>
          <w:rFonts w:hAnsi="宋体"/>
          <w:sz w:val="24"/>
        </w:rPr>
        <w:t>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检定</w:t>
      </w:r>
      <w:r>
        <w:rPr>
          <w:sz w:val="24"/>
        </w:rPr>
        <w:t>时使用的标准引入的误差不大于互感器误差限值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</w:rPr>
        <w:t>的1/</w:t>
      </w:r>
      <w:r>
        <w:rPr>
          <w:rFonts w:hint="eastAsia"/>
          <w:sz w:val="24"/>
        </w:rPr>
        <w:t>5</w:t>
      </w:r>
      <w:r>
        <w:rPr>
          <w:sz w:val="24"/>
        </w:rPr>
        <w:t>，其不确定度属B类分量，呈均匀分布，即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sz w:val="24"/>
        </w:rPr>
        <w:t>，则：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iCs/>
          <w:sz w:val="24"/>
        </w:rPr>
        <w:t>u</w:t>
      </w:r>
      <w:r>
        <w:rPr>
          <w:sz w:val="24"/>
          <w:vertAlign w:val="subscript"/>
        </w:rPr>
        <w:t>4</w:t>
      </w:r>
      <w:r>
        <w:rPr>
          <w:sz w:val="24"/>
        </w:rPr>
        <w:t>=0.</w:t>
      </w:r>
      <w:r>
        <w:rPr>
          <w:rFonts w:hint="eastAsia"/>
          <w:sz w:val="24"/>
        </w:rPr>
        <w:t>2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3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sz w:val="24"/>
        </w:rPr>
        <w:t>=0.</w:t>
      </w:r>
      <w:r>
        <w:rPr>
          <w:rFonts w:hint="eastAsia"/>
          <w:sz w:val="24"/>
        </w:rPr>
        <w:t>115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</w:p>
    <w:p>
      <w:pPr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.3</w:t>
      </w:r>
      <w:r>
        <w:rPr>
          <w:rFonts w:hAnsi="宋体"/>
          <w:sz w:val="24"/>
        </w:rPr>
        <w:t>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互感器校验仪</w:t>
      </w:r>
      <w:r>
        <w:rPr>
          <w:rFonts w:hint="eastAsia"/>
          <w:sz w:val="24"/>
        </w:rPr>
        <w:t>准确度等级为2级</w:t>
      </w:r>
      <w:r>
        <w:rPr>
          <w:sz w:val="24"/>
        </w:rPr>
        <w:t>，其引入的误差不大于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</w:rPr>
        <w:t>的</w:t>
      </w:r>
      <w:r>
        <w:rPr>
          <w:rFonts w:hint="eastAsia"/>
          <w:sz w:val="24"/>
        </w:rPr>
        <w:t>1/10</w:t>
      </w:r>
      <w:r>
        <w:rPr>
          <w:sz w:val="24"/>
        </w:rPr>
        <w:t>，其不确定度属B类分量，呈均匀分布，即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>
          <v:shape id="_x0000_i103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rPr>
          <w:sz w:val="24"/>
        </w:rPr>
        <w:t>,则：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  <w:r>
        <w:rPr>
          <w:sz w:val="24"/>
        </w:rPr>
        <w:t>=0.</w:t>
      </w:r>
      <w:r>
        <w:rPr>
          <w:rFonts w:hint="eastAsia"/>
          <w:sz w:val="24"/>
        </w:rPr>
        <w:t>1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0">
            <o:LockedField>false</o:LockedField>
          </o:OLEObject>
        </w:object>
      </w:r>
      <w:r>
        <w:rPr>
          <w:sz w:val="24"/>
        </w:rPr>
        <w:t>=0.0</w:t>
      </w:r>
      <w:r>
        <w:rPr>
          <w:rFonts w:hint="eastAsia"/>
          <w:sz w:val="24"/>
        </w:rPr>
        <w:t>58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</w:p>
    <w:p>
      <w:pPr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.4</w:t>
      </w:r>
      <w:r>
        <w:rPr>
          <w:rFonts w:hAnsi="宋体"/>
          <w:sz w:val="24"/>
        </w:rPr>
        <w:t>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4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按照检定规程规定，用于</w:t>
      </w:r>
      <w:r>
        <w:rPr>
          <w:rFonts w:hint="eastAsia"/>
          <w:sz w:val="24"/>
        </w:rPr>
        <w:t>检定</w:t>
      </w:r>
      <w:r>
        <w:rPr>
          <w:sz w:val="24"/>
        </w:rPr>
        <w:t>工作的升</w:t>
      </w:r>
      <w:r>
        <w:rPr>
          <w:rFonts w:hint="eastAsia"/>
          <w:sz w:val="24"/>
        </w:rPr>
        <w:t>流</w:t>
      </w:r>
      <w:r>
        <w:rPr>
          <w:sz w:val="24"/>
        </w:rPr>
        <w:t>器，调压器</w:t>
      </w:r>
      <w:r>
        <w:rPr>
          <w:rFonts w:hint="eastAsia"/>
          <w:sz w:val="24"/>
        </w:rPr>
        <w:t>，一次返回导线</w:t>
      </w:r>
      <w:r>
        <w:rPr>
          <w:sz w:val="24"/>
        </w:rPr>
        <w:t>等工作电磁场引入的误差不大于互感器误差限值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</w:rPr>
        <w:t>的1/10，其不确定度属B类分量，呈均匀分布，即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>
          <v:shape id="_x0000_i103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1">
            <o:LockedField>false</o:LockedField>
          </o:OLEObject>
        </w:object>
      </w:r>
      <w:r>
        <w:rPr>
          <w:sz w:val="24"/>
        </w:rPr>
        <w:t>，则：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iCs/>
          <w:sz w:val="24"/>
        </w:rPr>
        <w:t>u</w:t>
      </w:r>
      <w:r>
        <w:rPr>
          <w:sz w:val="24"/>
          <w:vertAlign w:val="subscript"/>
        </w:rPr>
        <w:t>4</w:t>
      </w:r>
      <w:r>
        <w:rPr>
          <w:sz w:val="24"/>
        </w:rPr>
        <w:t>=0.1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3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2">
            <o:LockedField>false</o:LockedField>
          </o:OLEObject>
        </w:object>
      </w:r>
      <w:r>
        <w:rPr>
          <w:sz w:val="24"/>
        </w:rPr>
        <w:t>=0.058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</w:p>
    <w:p>
      <w:pPr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.5</w:t>
      </w:r>
      <w:r>
        <w:rPr>
          <w:rFonts w:hAnsi="宋体"/>
          <w:sz w:val="24"/>
        </w:rPr>
        <w:t>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5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5</w:t>
      </w:r>
      <w:r>
        <w:rPr>
          <w:sz w:val="24"/>
        </w:rPr>
        <w:t>主要来源是负载箱误差的测量误差，本次评定使用的电</w:t>
      </w:r>
      <w:r>
        <w:rPr>
          <w:rFonts w:hint="eastAsia"/>
          <w:sz w:val="24"/>
        </w:rPr>
        <w:t>流</w:t>
      </w:r>
      <w:r>
        <w:rPr>
          <w:sz w:val="24"/>
        </w:rPr>
        <w:t>互感器检定装置中负载箱的等级为3级，对于被检电</w:t>
      </w:r>
      <w:r>
        <w:rPr>
          <w:rFonts w:hint="eastAsia"/>
          <w:sz w:val="24"/>
        </w:rPr>
        <w:t>流</w:t>
      </w:r>
      <w:r>
        <w:rPr>
          <w:sz w:val="24"/>
        </w:rPr>
        <w:t>互感器，其附加最大测量误差为：</w:t>
      </w:r>
      <w:r>
        <w:rPr>
          <w:rFonts w:hint="eastAsia"/>
          <w:sz w:val="24"/>
        </w:rPr>
        <w:t>6</w:t>
      </w:r>
      <w:r>
        <w:rPr>
          <w:sz w:val="24"/>
        </w:rPr>
        <w:t>%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</w:rPr>
        <w:t xml:space="preserve"> ，在区间内服从均匀分布，包含因子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>
          <v:shape id="_x0000_i1037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3">
            <o:LockedField>false</o:LockedField>
          </o:OLEObject>
        </w:object>
      </w:r>
      <w:r>
        <w:rPr>
          <w:sz w:val="24"/>
        </w:rPr>
        <w:t>，则标准不确定度：</w:t>
      </w:r>
    </w:p>
    <w:p>
      <w:pPr>
        <w:spacing w:line="360" w:lineRule="auto"/>
        <w:ind w:firstLine="480" w:firstLineChars="200"/>
        <w:jc w:val="center"/>
        <w:rPr>
          <w:sz w:val="24"/>
          <w:vertAlign w:val="subscript"/>
        </w:rPr>
      </w:pPr>
      <w:r>
        <w:rPr>
          <w:i/>
          <w:iCs/>
          <w:sz w:val="24"/>
        </w:rPr>
        <w:t>u</w:t>
      </w:r>
      <w:r>
        <w:rPr>
          <w:sz w:val="24"/>
          <w:vertAlign w:val="subscript"/>
        </w:rPr>
        <w:t>5</w:t>
      </w:r>
      <w:r>
        <w:rPr>
          <w:sz w:val="24"/>
        </w:rPr>
        <w:t>=</w:t>
      </w:r>
      <w:r>
        <w:rPr>
          <w:rFonts w:hint="eastAsia"/>
          <w:sz w:val="24"/>
        </w:rPr>
        <w:t>6</w:t>
      </w:r>
      <w:r>
        <w:rPr>
          <w:sz w:val="24"/>
        </w:rPr>
        <w:t>%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38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4">
            <o:LockedField>false</o:LockedField>
          </o:OLEObject>
        </w:object>
      </w:r>
      <w:r>
        <w:rPr>
          <w:sz w:val="24"/>
        </w:rPr>
        <w:t>=0.0</w:t>
      </w:r>
      <w:r>
        <w:rPr>
          <w:rFonts w:hint="eastAsia"/>
          <w:sz w:val="24"/>
        </w:rPr>
        <w:t>34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</w:p>
    <w:p>
      <w:pPr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.6</w:t>
      </w:r>
      <w:r>
        <w:rPr>
          <w:rFonts w:hAnsi="宋体"/>
          <w:sz w:val="24"/>
        </w:rPr>
        <w:t>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6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按照检定规程规定，</w:t>
      </w:r>
      <w:r>
        <w:rPr>
          <w:rFonts w:hint="eastAsia"/>
          <w:sz w:val="24"/>
        </w:rPr>
        <w:t>检定</w:t>
      </w:r>
      <w:r>
        <w:rPr>
          <w:sz w:val="24"/>
        </w:rPr>
        <w:t>工作的</w:t>
      </w:r>
      <w:r>
        <w:rPr>
          <w:rFonts w:hint="eastAsia"/>
          <w:sz w:val="24"/>
        </w:rPr>
        <w:t>线路接线</w:t>
      </w:r>
      <w:r>
        <w:rPr>
          <w:sz w:val="24"/>
        </w:rPr>
        <w:t>引入的误差不大于互感器误差限值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</w:rPr>
        <w:t>的1/10，其不确定度属B类分量，呈均匀分布，即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>
          <v:shape id="_x0000_i1039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5">
            <o:LockedField>false</o:LockedField>
          </o:OLEObject>
        </w:object>
      </w:r>
      <w:r>
        <w:rPr>
          <w:sz w:val="24"/>
        </w:rPr>
        <w:t>，则：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iCs/>
          <w:sz w:val="24"/>
        </w:rPr>
        <w:t>u</w:t>
      </w:r>
      <w:r>
        <w:rPr>
          <w:sz w:val="24"/>
          <w:vertAlign w:val="subscript"/>
        </w:rPr>
        <w:t>6</w:t>
      </w:r>
      <w:r>
        <w:rPr>
          <w:sz w:val="24"/>
        </w:rPr>
        <w:t>=0.1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40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26">
            <o:LockedField>false</o:LockedField>
          </o:OLEObject>
        </w:object>
      </w:r>
      <w:r>
        <w:rPr>
          <w:sz w:val="24"/>
        </w:rPr>
        <w:t>=0.058</w:t>
      </w:r>
      <w:r>
        <w:rPr>
          <w:i/>
          <w:iCs/>
          <w:sz w:val="24"/>
        </w:rPr>
        <w:t>ε</w:t>
      </w:r>
      <w:r>
        <w:rPr>
          <w:sz w:val="24"/>
          <w:vertAlign w:val="subscript"/>
        </w:rPr>
        <w:t>x</w:t>
      </w:r>
    </w:p>
    <w:p>
      <w:pPr>
        <w:pStyle w:val="3"/>
        <w:spacing w:line="360" w:lineRule="auto"/>
        <w:ind w:firstLine="480" w:firstLineChars="200"/>
        <w:rPr>
          <w:sz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宋体"/>
          <w:sz w:val="24"/>
          <w:szCs w:val="24"/>
        </w:rPr>
        <w:t>合成标准不确定度</w:t>
      </w: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c</w:t>
      </w:r>
      <w:r>
        <w:rPr>
          <w:sz w:val="24"/>
        </w:rPr>
        <w:t xml:space="preserve">                    </w:t>
      </w:r>
    </w:p>
    <w:p>
      <w:pPr>
        <w:spacing w:line="312" w:lineRule="auto"/>
        <w:ind w:left="60" w:firstLine="420" w:firstLineChars="175"/>
        <w:rPr>
          <w:rFonts w:hAnsi="宋体"/>
          <w:sz w:val="24"/>
        </w:rPr>
      </w:pPr>
      <w:r>
        <w:rPr>
          <w:sz w:val="24"/>
        </w:rPr>
        <w:t>4.1根据以上分析，</w:t>
      </w:r>
      <w:r>
        <w:rPr>
          <w:rFonts w:hAnsi="宋体"/>
          <w:sz w:val="24"/>
        </w:rPr>
        <w:t>列表给出不确定度汇总如</w:t>
      </w:r>
      <w:r>
        <w:rPr>
          <w:rFonts w:hint="eastAsia" w:hAnsi="宋体"/>
          <w:sz w:val="24"/>
        </w:rPr>
        <w:t>表2</w:t>
      </w:r>
      <w:r>
        <w:rPr>
          <w:rFonts w:hAnsi="宋体"/>
          <w:sz w:val="24"/>
        </w:rPr>
        <w:t>所示：</w:t>
      </w:r>
    </w:p>
    <w:p>
      <w:pPr>
        <w:spacing w:line="360" w:lineRule="auto"/>
        <w:jc w:val="center"/>
        <w:rPr>
          <w:sz w:val="24"/>
        </w:rPr>
      </w:pPr>
      <w:r>
        <w:rPr>
          <w:rFonts w:ascii="黑体" w:hAnsi="黑体" w:eastAsia="黑体"/>
          <w:szCs w:val="21"/>
        </w:rPr>
        <w:t>表</w:t>
      </w:r>
      <w:r>
        <w:rPr>
          <w:rFonts w:hint="eastAsia" w:ascii="黑体" w:hAnsi="黑体" w:eastAsia="黑体"/>
          <w:szCs w:val="21"/>
        </w:rPr>
        <w:t>2</w:t>
      </w:r>
      <w:r>
        <w:rPr>
          <w:rFonts w:ascii="黑体" w:hAnsi="黑体" w:eastAsia="黑体"/>
          <w:szCs w:val="21"/>
        </w:rPr>
        <w:t>　</w:t>
      </w:r>
      <w:r>
        <w:rPr>
          <w:rFonts w:hint="eastAsia" w:ascii="黑体" w:hAnsi="黑体" w:eastAsia="黑体"/>
          <w:szCs w:val="21"/>
        </w:rPr>
        <w:t>不确定度汇总表</w:t>
      </w:r>
    </w:p>
    <w:tbl>
      <w:tblPr>
        <w:tblStyle w:val="8"/>
        <w:tblW w:w="92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1418"/>
        <w:gridCol w:w="1701"/>
        <w:gridCol w:w="1287"/>
        <w:gridCol w:w="1276"/>
        <w:gridCol w:w="850"/>
        <w:gridCol w:w="14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标准不确定度分量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标准不确定度类别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不确定度来源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测量结果的分布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传播系数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标准不确定度分量的值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测量重复性</w:t>
            </w: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t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f</w:t>
            </w:r>
            <w:r>
              <w:rPr>
                <w:szCs w:val="21"/>
              </w:rPr>
              <w:t>（%）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91</w:t>
            </w:r>
            <w:r>
              <w:rPr>
                <w:sz w:val="24"/>
              </w:rPr>
              <w:t>×10</w:t>
            </w:r>
            <w:r>
              <w:rPr>
                <w:sz w:val="24"/>
                <w:vertAlign w:val="superscript"/>
              </w:rPr>
              <w:t>-4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δ</w:t>
            </w:r>
            <w:r>
              <w:rPr>
                <w:szCs w:val="21"/>
              </w:rPr>
              <w:t>(′)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1.37</w:t>
            </w:r>
            <w:r>
              <w:rPr>
                <w:sz w:val="24"/>
              </w:rPr>
              <w:t>×10</w:t>
            </w:r>
            <w:r>
              <w:rPr>
                <w:sz w:val="24"/>
                <w:vertAlign w:val="superscript"/>
              </w:rPr>
              <w:t>-</w:t>
            </w:r>
            <w:r>
              <w:rPr>
                <w:rFonts w:hint="eastAsia"/>
                <w:sz w:val="24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标准器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均匀分布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0.115</w:t>
            </w:r>
            <w:r>
              <w:rPr>
                <w:i/>
                <w:sz w:val="24"/>
              </w:rPr>
              <w:t>ε</w:t>
            </w:r>
            <w:r>
              <w:rPr>
                <w:sz w:val="24"/>
                <w:vertAlign w:val="subscript"/>
              </w:rPr>
              <w:t>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误差测量装置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均匀分布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</w:t>
            </w:r>
            <w:r>
              <w:rPr>
                <w:rFonts w:hint="eastAsia"/>
                <w:sz w:val="24"/>
              </w:rPr>
              <w:t>58</w:t>
            </w:r>
            <w:r>
              <w:rPr>
                <w:i/>
                <w:iCs/>
                <w:sz w:val="24"/>
              </w:rPr>
              <w:t>ε</w:t>
            </w:r>
            <w:r>
              <w:rPr>
                <w:sz w:val="24"/>
                <w:vertAlign w:val="subscript"/>
              </w:rPr>
              <w:t>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工作电磁场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均匀分布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0.058</w:t>
            </w:r>
            <w:r>
              <w:rPr>
                <w:i/>
                <w:iCs/>
                <w:sz w:val="24"/>
              </w:rPr>
              <w:t>ε</w:t>
            </w:r>
            <w:r>
              <w:rPr>
                <w:sz w:val="24"/>
                <w:vertAlign w:val="subscript"/>
              </w:rPr>
              <w:t>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二次负荷影响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均匀分布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</w:t>
            </w:r>
            <w:r>
              <w:rPr>
                <w:rFonts w:hint="eastAsia"/>
                <w:sz w:val="24"/>
              </w:rPr>
              <w:t>34</w:t>
            </w:r>
            <w:r>
              <w:rPr>
                <w:i/>
                <w:iCs/>
                <w:sz w:val="24"/>
              </w:rPr>
              <w:t>ε</w:t>
            </w:r>
            <w:r>
              <w:rPr>
                <w:sz w:val="24"/>
                <w:vertAlign w:val="subscript"/>
              </w:rPr>
              <w:t>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线路接线影响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均匀分布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0.058</w:t>
            </w:r>
            <w:r>
              <w:rPr>
                <w:i/>
                <w:iCs/>
                <w:sz w:val="24"/>
              </w:rPr>
              <w:t>ε</w:t>
            </w:r>
            <w:r>
              <w:rPr>
                <w:sz w:val="24"/>
                <w:vertAlign w:val="subscript"/>
              </w:rPr>
              <w:t>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92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注：评定时</w:t>
            </w:r>
            <w:r>
              <w:rPr>
                <w:rFonts w:eastAsia="仿宋_GB2312"/>
                <w:i/>
                <w:szCs w:val="21"/>
              </w:rPr>
              <w:t>ε</w:t>
            </w:r>
            <w:r>
              <w:rPr>
                <w:rFonts w:eastAsia="仿宋_GB2312"/>
                <w:szCs w:val="21"/>
                <w:vertAlign w:val="subscript"/>
              </w:rPr>
              <w:t>x</w:t>
            </w:r>
            <w:r>
              <w:rPr>
                <w:rFonts w:hint="eastAsia" w:ascii="仿宋_GB2312" w:eastAsia="仿宋_GB2312"/>
                <w:szCs w:val="21"/>
              </w:rPr>
              <w:t>按试品最大允许误差（或实际测量结果）考虑，未按实际测得的值考虑，最终评定结果会被适量放大，但考虑其通用性且满足要求，是可以接受的</w:t>
            </w:r>
          </w:p>
        </w:tc>
      </w:tr>
    </w:tbl>
    <w:p>
      <w:pPr>
        <w:spacing w:line="360" w:lineRule="auto"/>
        <w:ind w:firstLine="420" w:firstLineChars="200"/>
        <w:rPr>
          <w:rFonts w:ascii="仿宋_GB2312" w:eastAsia="仿宋_GB2312"/>
          <w:szCs w:val="21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4.2合成标准不确定度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4.2.1 </w:t>
      </w:r>
      <w:r>
        <w:rPr>
          <w:rFonts w:hAnsi="宋体"/>
          <w:sz w:val="24"/>
        </w:rPr>
        <w:t>比值差</w:t>
      </w:r>
      <w:r>
        <w:rPr>
          <w:sz w:val="24"/>
        </w:rPr>
        <w:t>合成标准不确定度为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position w:val="-14"/>
          <w:sz w:val="24"/>
        </w:rPr>
        <w:object>
          <v:shape id="_x0000_i1041" o:spt="75" type="#_x0000_t75" style="height:23.25pt;width:155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27">
            <o:LockedField>false</o:LockedField>
          </o:OLEObject>
        </w:object>
      </w:r>
      <w:r>
        <w:rPr>
          <w:sz w:val="24"/>
        </w:rPr>
        <w:t>=</w:t>
      </w:r>
      <w:r>
        <w:rPr>
          <w:rFonts w:hint="eastAsia"/>
          <w:sz w:val="24"/>
        </w:rPr>
        <w:t>0.0</w:t>
      </w:r>
      <w:r>
        <w:rPr>
          <w:sz w:val="24"/>
        </w:rPr>
        <w:t>31</w:t>
      </w:r>
      <w:r>
        <w:rPr>
          <w:rFonts w:hint="eastAsia"/>
          <w:sz w:val="24"/>
        </w:rPr>
        <w:t>%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4.2.2 </w:t>
      </w:r>
      <w:r>
        <w:rPr>
          <w:rFonts w:hAnsi="宋体"/>
          <w:sz w:val="24"/>
        </w:rPr>
        <w:t>相位差</w:t>
      </w:r>
      <w:r>
        <w:rPr>
          <w:sz w:val="24"/>
        </w:rPr>
        <w:t>合成标准不确定度为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position w:val="-14"/>
          <w:sz w:val="24"/>
        </w:rPr>
        <w:object>
          <v:shape id="_x0000_i1042" o:spt="75" type="#_x0000_t75" style="height:23.25pt;width:155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29">
            <o:LockedField>false</o:LockedField>
          </o:OLEObject>
        </w:object>
      </w:r>
      <w:r>
        <w:rPr>
          <w:sz w:val="24"/>
        </w:rPr>
        <w:t>=1.56</w:t>
      </w:r>
    </w:p>
    <w:p>
      <w:pPr>
        <w:pStyle w:val="3"/>
        <w:spacing w:line="360" w:lineRule="auto"/>
        <w:ind w:firstLine="48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扩展不确定度的计算</w:t>
      </w:r>
    </w:p>
    <w:p>
      <w:pPr>
        <w:spacing w:line="324" w:lineRule="auto"/>
        <w:ind w:firstLine="435"/>
        <w:rPr>
          <w:sz w:val="24"/>
        </w:rPr>
      </w:pPr>
      <w:r>
        <w:rPr>
          <w:sz w:val="24"/>
        </w:rPr>
        <w:t>取置信水准</w:t>
      </w:r>
      <w:r>
        <w:rPr>
          <w:rFonts w:hint="eastAsia"/>
          <w:sz w:val="24"/>
        </w:rPr>
        <w:t>约为</w:t>
      </w:r>
      <w:r>
        <w:rPr>
          <w:sz w:val="24"/>
        </w:rPr>
        <w:t>95</w:t>
      </w:r>
      <w:r>
        <w:rPr>
          <w:rFonts w:hint="eastAsia"/>
          <w:sz w:val="24"/>
        </w:rPr>
        <w:t>%</w:t>
      </w:r>
      <w:r>
        <w:rPr>
          <w:sz w:val="24"/>
        </w:rPr>
        <w:t>，包含因子</w:t>
      </w:r>
      <w:r>
        <w:rPr>
          <w:i/>
          <w:sz w:val="24"/>
        </w:rPr>
        <w:t>k</w:t>
      </w:r>
      <w:r>
        <w:rPr>
          <w:sz w:val="24"/>
        </w:rPr>
        <w:t>＝2</w:t>
      </w:r>
      <w:r>
        <w:rPr>
          <w:rFonts w:hint="eastAsia"/>
          <w:sz w:val="24"/>
        </w:rPr>
        <w:t>，扩展不确定为，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rFonts w:hAnsi="宋体"/>
          <w:sz w:val="24"/>
        </w:rPr>
        <w:t>比值误差：</w:t>
      </w:r>
      <w:r>
        <w:rPr>
          <w:position w:val="-12"/>
          <w:sz w:val="24"/>
        </w:rPr>
        <w:object>
          <v:shape id="_x0000_i1043" o:spt="75" type="#_x0000_t75" style="height:18.75pt;width:38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1">
            <o:LockedField>false</o:LockedField>
          </o:OLEObject>
        </w:object>
      </w:r>
      <w:r>
        <w:rPr>
          <w:rFonts w:hint="eastAsia"/>
          <w:sz w:val="24"/>
        </w:rPr>
        <w:t>≈0.06%</w:t>
      </w:r>
    </w:p>
    <w:p>
      <w:pPr>
        <w:spacing w:line="360" w:lineRule="auto"/>
        <w:ind w:firstLine="480" w:firstLineChars="200"/>
        <w:jc w:val="center"/>
        <w:rPr>
          <w:sz w:val="24"/>
        </w:rPr>
      </w:pPr>
      <w:r>
        <w:rPr>
          <w:rFonts w:hAnsi="宋体"/>
          <w:sz w:val="24"/>
        </w:rPr>
        <w:t>相位误差：</w:t>
      </w:r>
      <w:r>
        <w:rPr>
          <w:position w:val="-12"/>
          <w:sz w:val="24"/>
        </w:rPr>
        <w:object>
          <v:shape id="_x0000_i1044" o:spt="75" type="#_x0000_t75" style="height:18.75pt;width:38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3">
            <o:LockedField>false</o:LockedField>
          </o:OLEObject>
        </w:object>
      </w:r>
      <w:r>
        <w:rPr>
          <w:rFonts w:hint="eastAsia"/>
          <w:sz w:val="24"/>
        </w:rPr>
        <w:t>≈3</w:t>
      </w:r>
      <w:r>
        <w:rPr>
          <w:rFonts w:hint="eastAsia" w:ascii="宋体" w:hAnsi="宋体"/>
          <w:sz w:val="24"/>
        </w:rPr>
        <w:t>′</w:t>
      </w:r>
    </w:p>
    <w:p>
      <w:pPr>
        <w:pStyle w:val="3"/>
        <w:spacing w:line="360" w:lineRule="auto"/>
        <w:ind w:firstLine="480" w:firstLineChars="200"/>
        <w:rPr>
          <w:rFonts w:ascii="Times New Roman" w:hAnsi="宋体"/>
          <w:sz w:val="24"/>
          <w:szCs w:val="24"/>
        </w:rPr>
      </w:pPr>
    </w:p>
    <w:p>
      <w:pPr>
        <w:pStyle w:val="3"/>
        <w:spacing w:line="360" w:lineRule="auto"/>
        <w:ind w:firstLine="480" w:firstLineChars="200"/>
        <w:rPr>
          <w:rFonts w:ascii="Times New Roman" w:hAnsi="宋体"/>
          <w:sz w:val="24"/>
          <w:szCs w:val="24"/>
        </w:rPr>
      </w:pPr>
    </w:p>
    <w:p>
      <w:pPr>
        <w:pStyle w:val="3"/>
        <w:spacing w:line="360" w:lineRule="auto"/>
        <w:ind w:firstLine="480" w:firstLineChars="200"/>
        <w:jc w:val="right"/>
        <w:rPr>
          <w:rFonts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编制组</w:t>
      </w:r>
    </w:p>
    <w:p>
      <w:pPr>
        <w:pStyle w:val="3"/>
        <w:spacing w:line="360" w:lineRule="auto"/>
        <w:ind w:firstLine="480" w:firstLineChars="200"/>
        <w:jc w:val="right"/>
        <w:rPr>
          <w:rFonts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202</w:t>
      </w:r>
      <w:r>
        <w:rPr>
          <w:rFonts w:ascii="Times New Roman" w:hAnsi="宋体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年0</w:t>
      </w:r>
      <w:r>
        <w:rPr>
          <w:rFonts w:ascii="Times New Roman" w:hAnsi="宋体"/>
          <w:sz w:val="24"/>
          <w:szCs w:val="24"/>
        </w:rPr>
        <w:t>8</w:t>
      </w:r>
      <w:r>
        <w:rPr>
          <w:rFonts w:hint="eastAsia" w:ascii="Times New Roman" w:hAnsi="宋体"/>
          <w:sz w:val="24"/>
          <w:szCs w:val="24"/>
        </w:rPr>
        <w:t>月</w:t>
      </w:r>
    </w:p>
    <w:p>
      <w:pPr>
        <w:pStyle w:val="3"/>
        <w:spacing w:line="360" w:lineRule="auto"/>
        <w:ind w:firstLine="480" w:firstLineChars="200"/>
        <w:rPr>
          <w:rFonts w:ascii="Times New Roman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188"/>
    <w:rsid w:val="00007CF6"/>
    <w:rsid w:val="00031CA2"/>
    <w:rsid w:val="00034113"/>
    <w:rsid w:val="00083575"/>
    <w:rsid w:val="000A40B6"/>
    <w:rsid w:val="000C07CF"/>
    <w:rsid w:val="00205F11"/>
    <w:rsid w:val="00250351"/>
    <w:rsid w:val="002A234D"/>
    <w:rsid w:val="002B09E5"/>
    <w:rsid w:val="002D79C3"/>
    <w:rsid w:val="002E2BF2"/>
    <w:rsid w:val="003F4305"/>
    <w:rsid w:val="0045466C"/>
    <w:rsid w:val="004A2481"/>
    <w:rsid w:val="004B7A05"/>
    <w:rsid w:val="0052667B"/>
    <w:rsid w:val="005269AE"/>
    <w:rsid w:val="00533803"/>
    <w:rsid w:val="00557C13"/>
    <w:rsid w:val="005612A7"/>
    <w:rsid w:val="005A59A2"/>
    <w:rsid w:val="005B79E4"/>
    <w:rsid w:val="005C6217"/>
    <w:rsid w:val="006178C9"/>
    <w:rsid w:val="00625854"/>
    <w:rsid w:val="00680188"/>
    <w:rsid w:val="00746A62"/>
    <w:rsid w:val="007A1E7A"/>
    <w:rsid w:val="007F6963"/>
    <w:rsid w:val="008C06FA"/>
    <w:rsid w:val="008E2E47"/>
    <w:rsid w:val="008F4645"/>
    <w:rsid w:val="008F64E6"/>
    <w:rsid w:val="00925728"/>
    <w:rsid w:val="009F630B"/>
    <w:rsid w:val="009F762E"/>
    <w:rsid w:val="00A10BD0"/>
    <w:rsid w:val="00A64547"/>
    <w:rsid w:val="00A648C7"/>
    <w:rsid w:val="00AB05FB"/>
    <w:rsid w:val="00AF772F"/>
    <w:rsid w:val="00B116C9"/>
    <w:rsid w:val="00B3059E"/>
    <w:rsid w:val="00B452A2"/>
    <w:rsid w:val="00B72AF0"/>
    <w:rsid w:val="00BB4248"/>
    <w:rsid w:val="00BD6483"/>
    <w:rsid w:val="00C87376"/>
    <w:rsid w:val="00CA759B"/>
    <w:rsid w:val="00CD0500"/>
    <w:rsid w:val="00CE4312"/>
    <w:rsid w:val="00D0784C"/>
    <w:rsid w:val="00D66C71"/>
    <w:rsid w:val="00D756EC"/>
    <w:rsid w:val="00DC2370"/>
    <w:rsid w:val="00DD5615"/>
    <w:rsid w:val="00DE048C"/>
    <w:rsid w:val="00DF482F"/>
    <w:rsid w:val="00E42B43"/>
    <w:rsid w:val="00E539FE"/>
    <w:rsid w:val="00E63289"/>
    <w:rsid w:val="00E83428"/>
    <w:rsid w:val="00EC787C"/>
    <w:rsid w:val="00ED392A"/>
    <w:rsid w:val="00F216BB"/>
    <w:rsid w:val="00F61C0D"/>
    <w:rsid w:val="00F9431E"/>
    <w:rsid w:val="00FB291B"/>
    <w:rsid w:val="00FC305F"/>
    <w:rsid w:val="00FC4A5E"/>
    <w:rsid w:val="00FE328F"/>
    <w:rsid w:val="00FF0C8F"/>
    <w:rsid w:val="22D9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5040"/>
        <w:tab w:val="left" w:pos="7920"/>
      </w:tabs>
      <w:ind w:left="1800" w:right="386"/>
      <w:jc w:val="right"/>
    </w:pPr>
    <w:rPr>
      <w:szCs w:val="20"/>
    </w:rPr>
  </w:style>
  <w:style w:type="paragraph" w:styleId="3">
    <w:name w:val="Plain Text"/>
    <w:basedOn w:val="1"/>
    <w:link w:val="10"/>
    <w:uiPriority w:val="0"/>
    <w:rPr>
      <w:rFonts w:ascii="宋体" w:hAnsi="Courier New"/>
      <w:szCs w:val="20"/>
    </w:rPr>
  </w:style>
  <w:style w:type="paragraph" w:styleId="4">
    <w:name w:val="Body Text Indent 2"/>
    <w:basedOn w:val="1"/>
    <w:link w:val="14"/>
    <w:uiPriority w:val="0"/>
    <w:pPr>
      <w:spacing w:after="120" w:line="480" w:lineRule="auto"/>
      <w:ind w:left="420" w:leftChars="200" w:hanging="357"/>
    </w:pPr>
    <w:rPr>
      <w:szCs w:val="20"/>
    </w:r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纯文本 字符"/>
    <w:basedOn w:val="9"/>
    <w:link w:val="3"/>
    <w:uiPriority w:val="0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9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2 字符"/>
    <w:basedOn w:val="9"/>
    <w:link w:val="4"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4" Type="http://schemas.openxmlformats.org/officeDocument/2006/relationships/fontTable" Target="fontTable.xml"/><Relationship Id="rId33" Type="http://schemas.openxmlformats.org/officeDocument/2006/relationships/oleObject" Target="embeddings/oleObject20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9.bin"/><Relationship Id="rId30" Type="http://schemas.openxmlformats.org/officeDocument/2006/relationships/image" Target="media/image9.wmf"/><Relationship Id="rId3" Type="http://schemas.openxmlformats.org/officeDocument/2006/relationships/theme" Target="theme/theme1.xml"/><Relationship Id="rId29" Type="http://schemas.openxmlformats.org/officeDocument/2006/relationships/oleObject" Target="embeddings/oleObject18.bin"/><Relationship Id="rId28" Type="http://schemas.openxmlformats.org/officeDocument/2006/relationships/image" Target="media/image8.wmf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418</Words>
  <Characters>2388</Characters>
  <Lines>19</Lines>
  <Paragraphs>5</Paragraphs>
  <TotalTime>1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2022-01-21T03:06:00Z</dcterms:created>
  <dc:creator>xbany</dc:creator>
  <cp:lastModifiedBy>niegaoning</cp:lastModifiedBy>
  <dcterms:modified xsi:type="dcterms:W3CDTF">2024-04-01T03:47:09Z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0E6B714524654100B7571EA5E587A658</vt:lpwstr>
  </property>
</Properties>
</file>